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A8" w:rsidRDefault="007D5DA8" w:rsidP="007D5DA8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7D5DA8" w:rsidRDefault="007D5DA8" w:rsidP="007D5DA8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0D03">
        <w:rPr>
          <w:rFonts w:ascii="Times New Roman" w:hAnsi="Times New Roman" w:cs="Times New Roman"/>
          <w:sz w:val="28"/>
          <w:szCs w:val="28"/>
          <w:lang w:val="uk-UA"/>
        </w:rPr>
        <w:object w:dxaOrig="4695" w:dyaOrig="5580">
          <v:rect id="rectole0000000000" o:spid="_x0000_i1025" style="width:35.4pt;height:46.8pt" o:ole="" o:preferrelative="t" stroked="f">
            <v:imagedata r:id="rId5" o:title=""/>
          </v:rect>
          <o:OLEObject Type="Embed" ProgID="StaticMetafile" ShapeID="rectole0000000000" DrawAspect="Content" ObjectID="_1593841884" r:id="rId6"/>
        </w:objec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міської ради 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7D5DA8" w:rsidRDefault="007D5DA8" w:rsidP="007D5DA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свободи слова та зв’язків з громадськістю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D5DA8" w:rsidRDefault="007D5DA8" w:rsidP="007D5DA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.07.2018</w:t>
      </w:r>
    </w:p>
    <w:p w:rsidR="007D5DA8" w:rsidRDefault="007D5DA8" w:rsidP="007D5DA8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Малий зал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Щербак О. В.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Безпалий О.В., Дзюба С.П.,  Шевченко Н.О.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Відсутні члени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комісії: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 Коробка І.М., Косенко М.Г.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Колесник С.О. – керуючий справами виконавчого комітету Ніжинської міської ради;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Копилова Є.Г. – начальник сектора з питань претензійно-позовної роботи та запобігання корупції відділу юридично-кадрового забезпечення;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 – заявник;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Корстиленко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Ю.О. – представник управління освіти;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Молодцова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 – ГДІ з питань юридичної роботи;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Олійник І.В.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начальника відділу земельних відносин;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Пономаренко Н.О. – заступник начальника управління освіти;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 В.В. – секретар міської ради;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журналіст газети «Вісті»;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М.Б. – заступник начальника фінансового управління;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Шведун</w:t>
      </w:r>
      <w:proofErr w:type="spellEnd"/>
      <w:r>
        <w:rPr>
          <w:sz w:val="28"/>
          <w:szCs w:val="28"/>
          <w:lang w:val="uk-UA"/>
        </w:rPr>
        <w:t xml:space="preserve"> А.С. – начальник відділу інформаційно-аналітичного забезпечення</w:t>
      </w:r>
      <w:r w:rsidRPr="007D5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комунікацій з громадськістю виконавчого комітету Ніжинської міської ради Чернігівської;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Шовкун С.І. – перший заступник начальника Ніжинської ОДПІ;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Якуба Н.В. – головний спеціаліст відділу з питань організації діяльності міської ради та іі виконавчого комітету.</w:t>
      </w:r>
    </w:p>
    <w:p w:rsidR="007D5DA8" w:rsidRDefault="007D5DA8" w:rsidP="007D5D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Формування порядку денного</w:t>
      </w:r>
    </w:p>
    <w:p w:rsidR="007D5DA8" w:rsidRDefault="007D5DA8" w:rsidP="007D5DA8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Ознайомив присутніх з проектом порядку денного засідання постійної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з питань регламенту, депутатської діяльності та етики, законності, правопорядку, антикорупційної політики, свободи слова                та зв’язків з громадськістю від 06.07.2018.</w:t>
      </w: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Наголосив, що всі проекти рішень, які не дотримали терміни оприлюднення на офіційному сайті Ніжинської міської ради до моменту розгляду на сесії міської ради не будуть підтримані комісією.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порядок денний з пропозиціями.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«за» – 4, «проти» – 0, «утрималися» – 0.</w:t>
      </w: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Порядок денний:</w:t>
      </w:r>
    </w:p>
    <w:p w:rsidR="007D5DA8" w:rsidRDefault="007D5DA8" w:rsidP="007D5DA8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скликання від 21 грудня 2017 року №6-34/2017 «Про міський бюджет м. Ніжина на 2018 рік».</w:t>
      </w:r>
    </w:p>
    <w:p w:rsidR="007D5DA8" w:rsidRDefault="007D5DA8" w:rsidP="007D5D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в Паспорт міської програми реалізації повноважень міської ради у галузі земельних відносин на 2018 рік (Додаток 16) до рішення Ніжинської міської ради №5-34/2017 від «21» грудня 2017 р. «Про затвердження бюджетних програм місцевого значення на 2018 рік».</w:t>
      </w:r>
    </w:p>
    <w:p w:rsidR="007D5DA8" w:rsidRDefault="007D5DA8" w:rsidP="007D5DA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 затвердження технічної документацію з нормативної грошової оцінки земель міста Ніжина.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РІЗНЕ</w:t>
      </w:r>
    </w:p>
    <w:p w:rsidR="007D5DA8" w:rsidRDefault="007D5DA8" w:rsidP="007D5D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Розгляд питань порядку денного:</w:t>
      </w:r>
    </w:p>
    <w:p w:rsidR="007D5DA8" w:rsidRDefault="007D5DA8" w:rsidP="007D5DA8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 від 21 грудня 2017 року №6-34/2017 «Про міський бюджет м. Ніжина на 2018 рік».</w:t>
      </w:r>
    </w:p>
    <w:p w:rsidR="007D5DA8" w:rsidRDefault="007D5DA8" w:rsidP="007D5DA8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(оприлюднено на офіційному сайті Ніжинської міської ради 06.07.2018)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Фурса</w:t>
      </w:r>
      <w:proofErr w:type="spellEnd"/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М.Б.,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заступник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начальника фінансового управління.</w:t>
      </w:r>
    </w:p>
    <w:p w:rsidR="007D5DA8" w:rsidRDefault="007D5DA8" w:rsidP="007D5DA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Доповіла, що вносяться зміни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межах: </w:t>
      </w:r>
    </w:p>
    <w:p w:rsidR="007D5DA8" w:rsidRDefault="007D5DA8" w:rsidP="007D5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Субвенцій : </w:t>
      </w:r>
    </w:p>
    <w:p w:rsidR="007D5DA8" w:rsidRDefault="007D5DA8" w:rsidP="007D5DA8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Медичної субвенції з державного бюджету в сумі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4 750,5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>(для Центра первинної медико - санітарної допомоги);</w:t>
      </w:r>
    </w:p>
    <w:p w:rsidR="007D5DA8" w:rsidRDefault="007D5DA8" w:rsidP="007D5DA8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Іншої субвенції на виконання доручень виборців депутатами обласної ради в сумі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10,5 тис. грн.;</w:t>
      </w:r>
    </w:p>
    <w:p w:rsidR="007D5DA8" w:rsidRDefault="007D5DA8" w:rsidP="007D5DA8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Субвенції з державного бюджету  місцевим бюджетам на здійснення заходів щодо соціально</w:t>
      </w:r>
      <w:r w:rsidRPr="007D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економічного розвитку окремих територій в сумі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5997,2 тис.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(перелік заходів до протоколу додається).</w:t>
      </w:r>
    </w:p>
    <w:p w:rsidR="007D5DA8" w:rsidRDefault="007D5DA8" w:rsidP="007D5DA8">
      <w:pPr>
        <w:tabs>
          <w:tab w:val="left" w:pos="284"/>
        </w:tabs>
        <w:spacing w:line="36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Бюджетних асигнувань, в т.ч.:</w:t>
      </w:r>
    </w:p>
    <w:p w:rsidR="007D5DA8" w:rsidRDefault="007D5DA8" w:rsidP="007D5DA8">
      <w:pPr>
        <w:tabs>
          <w:tab w:val="left" w:pos="426"/>
          <w:tab w:val="left" w:pos="851"/>
        </w:tabs>
        <w:spacing w:line="360" w:lineRule="auto"/>
        <w:ind w:left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 рахунок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зменшення коштів Резервного фонду в сумі 759, 9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: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міського бюджету(до субвенції з державного бюджету на здійснення заходів щодо соціально</w:t>
      </w:r>
      <w:r w:rsidRPr="007D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економічного розвитку окремих територій)  3%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179,9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.;  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благоустрою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310,0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Косовицю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190,0 тис. грн.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аварійної бригади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80,0 тис. грн.;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Управлінню освіти: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робіт по облаштуванню приміщень  Інклюзивно-ресурсного центру; для облаштування 11 газових  котелень  засобами дистанційної передачі;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закупівлі обладнання, вартість якого більша 6,0 тис. грн.;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ЦМЛ: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централізовані заходи  з лікування хворих на цукровий та нецукровий діабет та заходи з імунопрофілактики;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Пологовому будинку: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капремонту з облаштуванням м"якої покрівлі та проведення поточного ремонту актового залу; </w:t>
      </w:r>
    </w:p>
    <w:p w:rsidR="007D5DA8" w:rsidRDefault="007D5DA8" w:rsidP="007D5DA8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hanging="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УЖКГ та Б: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виготовлення  технічної документації  із землеустрою під будівництво міського кладовища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7D5DA8" w:rsidRPr="00FD04C4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FD04C4" w:rsidRPr="00FD04C4" w:rsidRDefault="00FD04C4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pStyle w:val="1"/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sz w:val="28"/>
          <w:szCs w:val="28"/>
          <w:u w:val="single"/>
          <w:lang w:val="uk-UA"/>
        </w:rPr>
      </w:pPr>
      <w:r>
        <w:rPr>
          <w:b w:val="0"/>
          <w:sz w:val="28"/>
          <w:szCs w:val="28"/>
          <w:u w:val="single"/>
          <w:lang w:val="uk-UA"/>
        </w:rPr>
        <w:t xml:space="preserve">Рекомендувати міському голові дати доручення </w:t>
      </w:r>
      <w:proofErr w:type="spellStart"/>
      <w:r>
        <w:rPr>
          <w:b w:val="0"/>
          <w:sz w:val="28"/>
          <w:szCs w:val="28"/>
          <w:u w:val="single"/>
          <w:lang w:val="uk-UA"/>
        </w:rPr>
        <w:t>т.в.о</w:t>
      </w:r>
      <w:proofErr w:type="spellEnd"/>
      <w:r>
        <w:rPr>
          <w:b w:val="0"/>
          <w:sz w:val="28"/>
          <w:szCs w:val="28"/>
          <w:u w:val="single"/>
          <w:lang w:val="uk-UA"/>
        </w:rPr>
        <w:t>.</w:t>
      </w:r>
      <w:r w:rsidRPr="007D5DA8">
        <w:rPr>
          <w:b w:val="0"/>
          <w:sz w:val="28"/>
          <w:szCs w:val="28"/>
          <w:u w:val="single"/>
          <w:lang w:val="uk-UA"/>
        </w:rPr>
        <w:t xml:space="preserve"> </w:t>
      </w:r>
      <w:r>
        <w:rPr>
          <w:rStyle w:val="a5"/>
          <w:sz w:val="28"/>
          <w:szCs w:val="28"/>
          <w:u w:val="single"/>
          <w:shd w:val="clear" w:color="auto" w:fill="FFFFFF"/>
          <w:lang w:val="uk-UA"/>
        </w:rPr>
        <w:t>начальника відділу юридично-кадрового забезпечення (Копиловій Є.Г.) вивчити порядок облаштування точок вимірювання засобами дистанційної передачі даних газових лічильників.</w:t>
      </w:r>
    </w:p>
    <w:p w:rsidR="007D5DA8" w:rsidRDefault="007D5DA8" w:rsidP="007D5DA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Про внесення змін в Паспорт міської програми реалізації повноважень міської ради у галузі земельних відносин на 2018 рік (Додаток 16) до рішення Ніжинської міської ради №5-34/2017 від «21» грудня 2017 р. «Про затвердження бюджетних програм місцевого значення на 2018 рік».</w:t>
      </w:r>
    </w:p>
    <w:p w:rsidR="007D5DA8" w:rsidRDefault="007D5DA8" w:rsidP="007D5DA8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(оприлюднено на офіційному сайті Ніжинської міської ради 04.07.2018)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Олійник І.В.,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начальника відділу земельних відносин.</w:t>
      </w:r>
    </w:p>
    <w:p w:rsidR="007D5DA8" w:rsidRDefault="007D5DA8" w:rsidP="007D5DA8">
      <w:pPr>
        <w:pStyle w:val="a4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Надала роз’яснення, що основною метою Програми є створення умов для сприяння підвищенню ефективності діяльності підприємств, установ, організацій та суб’єктів господарювання,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отримання можливості організації постійного контролю за використанням земель комунальної власності,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також забезпечення надходження коштів до міського бюджету.</w:t>
      </w:r>
    </w:p>
    <w:p w:rsidR="007D5DA8" w:rsidRDefault="007D5DA8" w:rsidP="007D5DA8">
      <w:pPr>
        <w:pStyle w:val="a4"/>
        <w:spacing w:before="100" w:beforeAutospacing="1" w:after="100" w:afterAutospacing="1" w:line="360" w:lineRule="auto"/>
        <w:ind w:left="142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 пріоритетів,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прогнозується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інвентаризації земель м. Ніжина, проведення земельно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облікових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заходів, визначення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обсягів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передачі у власність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ділянок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несільськогосподарського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призначення, що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підлягають продажу власникам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нерухомого майна, розміщеного на цих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ділянках та продажу земельних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ділянок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прав на них на конкурентних засадах.</w:t>
      </w:r>
    </w:p>
    <w:p w:rsidR="007D5DA8" w:rsidRDefault="007D5DA8" w:rsidP="007D5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Додала, що вищезазначений проект рішення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розроблений з метою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фінансування робіт по виготовленню технічної документації із землеустрою щодо встановлення (відновлення) в натурі (на місцевості) меж земельної ділянки площею 10,3 га для будівництва та обслуговування будівель закладів комунального обслуговування (під будівництво міського кладовища), розташованої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Ніжинського району Чернігівської області – розділ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п.п.8 Заходів по реалізації Програми.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5DA8" w:rsidRDefault="007D5DA8" w:rsidP="007D5DA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Про затвердження технічної документацію з нормативної грошової оцінки земель міста Ніжина.</w:t>
      </w:r>
    </w:p>
    <w:p w:rsidR="007D5DA8" w:rsidRDefault="007D5DA8" w:rsidP="007D5DA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(оприлюднено на офіційному сайті Ніжинської міської ради 03.07.2018)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Олійник І.В.,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начальника відділу земельних відносин.</w:t>
      </w:r>
    </w:p>
    <w:p w:rsidR="007D5DA8" w:rsidRDefault="007D5DA8" w:rsidP="007D5DA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Доповіла, що вищезгаданий проект рішення підготовлений після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озгляду технічної документації з нормативної грошової оцінки земель міста Ніжина станом на 01.01.2017, яка виготовлена Товариством </w:t>
      </w:r>
      <w:r w:rsidRPr="007D5D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обмеженою</w:t>
      </w:r>
      <w:r w:rsidRPr="007D5D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відповідальністю «БЮРО ОЦІНКИ» відповідно до вимог Земельного кодексу України, Закону України «Про оцінку земель», Закону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місцеве самоврядування в Україні».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D5DA8" w:rsidRDefault="007D5DA8" w:rsidP="007D5D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РІЗНЕ</w:t>
      </w:r>
    </w:p>
    <w:p w:rsidR="007D5DA8" w:rsidRDefault="007D5DA8" w:rsidP="00AF2E23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розгляд звернення заявника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Красновида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С.В., щодо встановлення пільгової ставки по сплаті податку на нерухоме майно "Дитячий садочок" за адресою м. Ніжин, вул. Гончарна 19-А.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заявник.</w:t>
      </w: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Доповів, що в даній будівлі планується здійснення освітньої діяльності.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Зауважив, що в минулому році вищезгадана будівля не підпадала під оподаткування.</w:t>
      </w:r>
      <w:r w:rsidRPr="007D5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Додав, що вийшов Закон України «Про внесення змін до Податкового кодексу України щодо створення умов для надання освітніх послуг дошкільними та загальноосвітніми навчальними закладами недержавної форми власності, згідно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якого: «будівлі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послуг». 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Зауважив, що</w:t>
      </w:r>
      <w:r w:rsidR="00FD04C4" w:rsidRPr="00FD04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Красновид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 зареєстрований, як підприємець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фактично буде здійснювати на цьому об’єкті підприємницьку діяльність.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здійснення освітніх послуг необхідно мати ліцензію.</w:t>
      </w: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Шовкун С.І., </w:t>
      </w:r>
      <w:r>
        <w:rPr>
          <w:i/>
          <w:sz w:val="28"/>
          <w:szCs w:val="28"/>
          <w:lang w:val="uk-UA"/>
        </w:rPr>
        <w:t>перший заступник начальника Ніжинської ОДПІ.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Надав роз’яснення, що відповідно до ст. 266 підпункту 266.2.2 (і) Податкового кодексу України не є об’єктом оподаткування 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послуг, а для здійснення освітніх послуг необхідно мати ліцензію. Заявник </w:t>
      </w:r>
      <w:proofErr w:type="spellStart"/>
      <w:r>
        <w:rPr>
          <w:sz w:val="28"/>
          <w:szCs w:val="28"/>
          <w:lang w:val="uk-UA"/>
        </w:rPr>
        <w:t>Красновид</w:t>
      </w:r>
      <w:proofErr w:type="spellEnd"/>
      <w:r>
        <w:rPr>
          <w:sz w:val="28"/>
          <w:szCs w:val="28"/>
          <w:lang w:val="uk-UA"/>
        </w:rPr>
        <w:t xml:space="preserve"> С.В. немає даної ліцензії.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Зауважив, що комісія не має повноважень по встановленню пільгової ставки по сплаті податку на нерухоме майно. Рекомендація комісії – звернутись до органів влади з проханням надати пільгу.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7D5DA8" w:rsidRPr="007D5DA8" w:rsidRDefault="007D5DA8" w:rsidP="007D5DA8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pStyle w:val="a4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О.В., </w:t>
      </w:r>
      <w:r w:rsidRPr="007D5DA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Pr="007D5DA8" w:rsidRDefault="007D5DA8" w:rsidP="007D5DA8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7D5DA8">
        <w:rPr>
          <w:sz w:val="28"/>
          <w:szCs w:val="28"/>
          <w:lang w:val="uk-UA"/>
        </w:rPr>
        <w:t>Зауважив на необхідності нада</w:t>
      </w:r>
      <w:r>
        <w:rPr>
          <w:sz w:val="28"/>
          <w:szCs w:val="28"/>
          <w:lang w:val="uk-UA"/>
        </w:rPr>
        <w:t>ння</w:t>
      </w:r>
      <w:r w:rsidRPr="007D5DA8">
        <w:rPr>
          <w:sz w:val="28"/>
          <w:szCs w:val="28"/>
          <w:lang w:val="uk-UA"/>
        </w:rPr>
        <w:t xml:space="preserve"> фінансово-економічн</w:t>
      </w:r>
      <w:r>
        <w:rPr>
          <w:sz w:val="28"/>
          <w:szCs w:val="28"/>
          <w:lang w:val="uk-UA"/>
        </w:rPr>
        <w:t xml:space="preserve">ого </w:t>
      </w:r>
      <w:r w:rsidRPr="007D5DA8">
        <w:rPr>
          <w:sz w:val="28"/>
          <w:szCs w:val="28"/>
          <w:lang w:val="uk-UA"/>
        </w:rPr>
        <w:t>обґрунтування для створення комунального підприємства Ніжинської міської ради Чернігівської області Муніципальна служба правопорядку «ВАРТА».</w:t>
      </w:r>
    </w:p>
    <w:p w:rsidR="007D5DA8" w:rsidRPr="007D5DA8" w:rsidRDefault="007D5DA8" w:rsidP="007D5DA8">
      <w:pPr>
        <w:pStyle w:val="a4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D5DA8" w:rsidRDefault="007D5DA8" w:rsidP="007D5DA8">
      <w:pPr>
        <w:pStyle w:val="Standard"/>
        <w:spacing w:line="360" w:lineRule="auto"/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Рекомендувати міському голові дати доручення начальнику фінансового управління (Писаренко Л.В.) та начальнику відділу економіки (Гавриш Т.М.) надати фінансово-економічне обґрунтування для створення комунального підприємства Ніжинської міської ради Чернігівської області Муніципальна служба правопорядку «ВАРТА».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>(Про виконання рекомендаційного доручення повідомити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                       та зв’язків з громадськістю).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Підтримати рекомендаційне доручення.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Pr="007D5DA8" w:rsidRDefault="007D5DA8" w:rsidP="007D5DA8">
      <w:pPr>
        <w:pStyle w:val="a4"/>
        <w:numPr>
          <w:ilvl w:val="0"/>
          <w:numId w:val="6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5D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7D5DA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Безпалий О.В., </w:t>
      </w:r>
      <w:r w:rsidRPr="007D5DA8">
        <w:rPr>
          <w:i/>
          <w:sz w:val="28"/>
          <w:szCs w:val="28"/>
          <w:lang w:val="uk-UA"/>
        </w:rPr>
        <w:t>член комісії.</w:t>
      </w:r>
    </w:p>
    <w:p w:rsidR="007D5DA8" w:rsidRPr="007D5DA8" w:rsidRDefault="007D5DA8" w:rsidP="007D5DA8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7D5DA8">
        <w:rPr>
          <w:sz w:val="28"/>
          <w:szCs w:val="28"/>
          <w:lang w:val="uk-UA"/>
        </w:rPr>
        <w:t xml:space="preserve">Наголосив на необхідності вивчення питання створення єдиного харчового комбінату </w:t>
      </w:r>
      <w:r>
        <w:rPr>
          <w:sz w:val="28"/>
          <w:szCs w:val="28"/>
          <w:lang w:val="uk-UA"/>
        </w:rPr>
        <w:t>для</w:t>
      </w:r>
      <w:r w:rsidRPr="007D5DA8">
        <w:rPr>
          <w:sz w:val="28"/>
          <w:szCs w:val="28"/>
          <w:lang w:val="uk-UA"/>
        </w:rPr>
        <w:t xml:space="preserve"> забезпечення харчуванням загальноосвітніх навчальних закладів, ДНЗ та медичних закладів міста.</w:t>
      </w:r>
    </w:p>
    <w:p w:rsidR="007D5DA8" w:rsidRPr="007D5DA8" w:rsidRDefault="007D5DA8" w:rsidP="007D5DA8">
      <w:pPr>
        <w:pStyle w:val="Standard"/>
        <w:spacing w:line="360" w:lineRule="auto"/>
        <w:outlineLvl w:val="0"/>
        <w:rPr>
          <w:i/>
          <w:sz w:val="28"/>
          <w:szCs w:val="28"/>
          <w:u w:val="single"/>
          <w:lang w:val="uk-UA"/>
        </w:rPr>
      </w:pPr>
    </w:p>
    <w:p w:rsidR="007D5DA8" w:rsidRDefault="007D5DA8" w:rsidP="007D5DA8">
      <w:pPr>
        <w:pStyle w:val="Standard"/>
        <w:spacing w:line="360" w:lineRule="auto"/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Рекомендувати міському голові дати доручення відповідним службам виконавчого комітету Ніжинської міської ради вивчити питання створення єдиного харчового комбінату з метою забезпечення харчуванням загальноосвітніх навчальних закладів, ДНЗ та медичних закладів міста.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(Про виконання рекомендаційного доручення повідомити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                       та зв’язків з громадськістю).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Підтримати рекомендаційне доручення.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7D5DA8" w:rsidRDefault="007D5DA8" w:rsidP="007D5DA8">
      <w:pPr>
        <w:pStyle w:val="a4"/>
        <w:numPr>
          <w:ilvl w:val="0"/>
          <w:numId w:val="6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розгляд змін до закону «Про рекламу».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Зауважив, що Верховна Рада внесла зміни до закону «Про рекламу»                і  заборонила розміщення реклами і рекламних засобів на підтримувальних, опорних та інших елементах контактної мережі та на засобах і обладнанні зовнішнього освітлення.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відповідним службам виконавчого комітету Ніжинської міської ради прибрати рекламу і рекламні засоби на підтримувальних, опорних та інших елементах контактної мережі та на засобах і обладнанні зовнішнього освітлення по місту на виконання </w:t>
      </w:r>
      <w:r>
        <w:rPr>
          <w:rFonts w:ascii="Times New Roman" w:hAnsi="Times New Roman" w:cs="Times New Roman"/>
          <w:color w:val="231F20"/>
          <w:sz w:val="28"/>
          <w:szCs w:val="28"/>
          <w:u w:val="single"/>
          <w:shd w:val="clear" w:color="auto" w:fill="FFFFFF"/>
          <w:lang w:val="uk-UA"/>
        </w:rPr>
        <w:t>Закону «Про внесення змін до Закону України</w:t>
      </w:r>
      <w:r>
        <w:rPr>
          <w:rFonts w:ascii="Times New Roman" w:hAnsi="Times New Roman" w:cs="Times New Roman"/>
          <w:color w:val="231F20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u w:val="single"/>
          <w:shd w:val="clear" w:color="auto" w:fill="FFFFFF"/>
          <w:lang w:val="uk-UA"/>
        </w:rPr>
        <w:t>«Про рекламу»</w:t>
      </w:r>
      <w:r>
        <w:rPr>
          <w:rFonts w:ascii="Times New Roman" w:hAnsi="Times New Roman" w:cs="Times New Roman"/>
          <w:color w:val="231F20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231F20"/>
          <w:sz w:val="28"/>
          <w:szCs w:val="28"/>
          <w:u w:val="single"/>
          <w:shd w:val="clear" w:color="auto" w:fill="FFFFFF"/>
          <w:lang w:val="uk-UA"/>
        </w:rPr>
        <w:t>щодо використання окремих елементів благоустрою та контактної мережі при здійсненні рекламної діяльності» (проект№3454)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(Про виконання рекомендаційного доручення повідомити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                       та зв’язків з громадськістю до 06.08.2018).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Підтримати рекомендаційне доручення.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розгляд листа-відповіді начальника УЖКГ та Б (Кушніренка А.М.) на депутатське звернення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секретаря комісії Шевченко Н.О. щодо вирішення питання ліквідації аварійної ситуації для пішоходів на перехресті вул.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Об’їжджа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Шевченка (в районі зупинки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Об’їжджа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pStyle w:val="a4"/>
        <w:keepNext/>
        <w:keepLines/>
        <w:spacing w:after="0" w:line="360" w:lineRule="auto"/>
        <w:ind w:left="142" w:firstLine="56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Зачитав лист начальника УЖКГ та Б (Кушніренка А.М.), що на даному перехресті планується організація кругового руху, а для забезпечення безпечного переходу проїзної частини пішоходами, закуплено спеціальну плитку, якою буде облаштовано пішохідні переходи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(лист додається).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Щербак О. В.,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голова комісії.</w:t>
      </w:r>
    </w:p>
    <w:p w:rsidR="007D5DA8" w:rsidRDefault="007D5DA8" w:rsidP="007D5D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Наголосив на необхідності надання чітких термінів виконання робіт начальником УЖКГ та Б (Кушніренком А.М.).</w:t>
      </w:r>
    </w:p>
    <w:p w:rsidR="007D5DA8" w:rsidRDefault="007D5DA8" w:rsidP="00AF2E23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DA8" w:rsidRDefault="007D5DA8" w:rsidP="007D5DA8">
      <w:pPr>
        <w:pStyle w:val="a4"/>
        <w:keepNext/>
        <w:keepLines/>
        <w:numPr>
          <w:ilvl w:val="0"/>
          <w:numId w:val="6"/>
        </w:numPr>
        <w:tabs>
          <w:tab w:val="left" w:pos="284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розгляд листа в.о. директора Ніжинського РЕМ ПАТ «ЧЕРНІГІВОБЛЕНЕРГО» про результати обстеження електричної опори біля буд.№3 по вул. Садовій.</w:t>
      </w:r>
    </w:p>
    <w:p w:rsidR="007D5DA8" w:rsidRDefault="007D5DA8" w:rsidP="007D5DA8">
      <w:pPr>
        <w:pStyle w:val="a4"/>
        <w:keepNext/>
        <w:keepLines/>
        <w:spacing w:after="0" w:line="360" w:lineRule="auto"/>
        <w:ind w:left="142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(лист додається).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Прийняти інформацію до відома.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D5DA8" w:rsidRDefault="00AF2E23" w:rsidP="00AF2E23">
      <w:pPr>
        <w:pStyle w:val="a4"/>
        <w:keepNext/>
        <w:keepLines/>
        <w:numPr>
          <w:ilvl w:val="0"/>
          <w:numId w:val="6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5DA8">
        <w:rPr>
          <w:rFonts w:ascii="Times New Roman" w:hAnsi="Times New Roman" w:cs="Times New Roman"/>
          <w:b/>
          <w:sz w:val="28"/>
          <w:szCs w:val="28"/>
          <w:lang w:val="uk-UA"/>
        </w:rPr>
        <w:t>Про розгляд історичної довідки до пам’ятнику міліціонерам у сквері М.Гоголя наданої директором НКМ ім.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D5DA8">
        <w:rPr>
          <w:rFonts w:ascii="Times New Roman" w:hAnsi="Times New Roman" w:cs="Times New Roman"/>
          <w:b/>
          <w:sz w:val="28"/>
          <w:szCs w:val="28"/>
          <w:lang w:val="uk-UA"/>
        </w:rPr>
        <w:t>І.Спаського</w:t>
      </w:r>
      <w:proofErr w:type="spellEnd"/>
      <w:r w:rsidR="007D5D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(історична довідка  додається).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Інше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7D5DA8" w:rsidRDefault="007D5DA8" w:rsidP="007D5D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журнал рекомендаційних доручень постійної комісії міської ради </w:t>
      </w:r>
      <w:r w:rsidR="00AF2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депутатської діяльності та етики, законності, правопорядку, антикорупційної політики, свободи слова та зв’язків </w:t>
      </w:r>
      <w:r w:rsidR="00AF2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громадськістю.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«за» – 4, «проти» – 0, «утрималися» – 0.</w:t>
      </w:r>
    </w:p>
    <w:p w:rsidR="007D5DA8" w:rsidRDefault="007D5DA8" w:rsidP="007D5DA8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="00AF2E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 В. Щербак</w:t>
      </w: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DA8" w:rsidRDefault="007D5DA8" w:rsidP="007D5D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Н.О. Шевченко</w:t>
      </w:r>
    </w:p>
    <w:sectPr w:rsidR="007D5DA8" w:rsidSect="007B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0D9E"/>
    <w:multiLevelType w:val="hybridMultilevel"/>
    <w:tmpl w:val="0E02AEB6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1D0DBA"/>
    <w:multiLevelType w:val="hybridMultilevel"/>
    <w:tmpl w:val="66C2BBD0"/>
    <w:lvl w:ilvl="0" w:tplc="ABDCB5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1330A"/>
    <w:multiLevelType w:val="hybridMultilevel"/>
    <w:tmpl w:val="601A311A"/>
    <w:lvl w:ilvl="0" w:tplc="928A602E">
      <w:start w:val="1"/>
      <w:numFmt w:val="upperRoman"/>
      <w:lvlText w:val="%1."/>
      <w:lvlJc w:val="right"/>
      <w:pPr>
        <w:ind w:left="1429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54D92"/>
    <w:multiLevelType w:val="hybridMultilevel"/>
    <w:tmpl w:val="ADC25F72"/>
    <w:lvl w:ilvl="0" w:tplc="916C3E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12E3F"/>
    <w:multiLevelType w:val="hybridMultilevel"/>
    <w:tmpl w:val="C6FC63A2"/>
    <w:lvl w:ilvl="0" w:tplc="3E0494F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F5204"/>
    <w:multiLevelType w:val="hybridMultilevel"/>
    <w:tmpl w:val="2FEA9F78"/>
    <w:lvl w:ilvl="0" w:tplc="79E4989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F82C10"/>
    <w:multiLevelType w:val="hybridMultilevel"/>
    <w:tmpl w:val="0722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A8"/>
    <w:rsid w:val="0039713C"/>
    <w:rsid w:val="00666283"/>
    <w:rsid w:val="007B697D"/>
    <w:rsid w:val="007D5DA8"/>
    <w:rsid w:val="00AF2E23"/>
    <w:rsid w:val="00D10D03"/>
    <w:rsid w:val="00D2644F"/>
    <w:rsid w:val="00FD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ED2AA-946E-478E-BEE7-3427F7B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A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5DA8"/>
    <w:pPr>
      <w:ind w:left="720"/>
      <w:contextualSpacing/>
    </w:pPr>
  </w:style>
  <w:style w:type="paragraph" w:customStyle="1" w:styleId="Standard">
    <w:name w:val="Standard"/>
    <w:uiPriority w:val="99"/>
    <w:rsid w:val="007D5DA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7D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8538</Words>
  <Characters>4867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Користувач Windows</cp:lastModifiedBy>
  <cp:revision>2</cp:revision>
  <dcterms:created xsi:type="dcterms:W3CDTF">2018-07-23T06:05:00Z</dcterms:created>
  <dcterms:modified xsi:type="dcterms:W3CDTF">2018-07-23T06:05:00Z</dcterms:modified>
</cp:coreProperties>
</file>